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12F3F3" w14:textId="0668C92D" w:rsidR="003515CC" w:rsidRDefault="003515CC" w:rsidP="003515CC">
      <w:pPr>
        <w:tabs>
          <w:tab w:val="left" w:pos="940"/>
          <w:tab w:val="center" w:pos="4680"/>
        </w:tabs>
        <w:rPr>
          <w:rFonts w:asciiTheme="majorBidi" w:hAnsiTheme="majorBidi" w:cstheme="majorBidi"/>
          <w:b/>
          <w:bCs/>
        </w:rPr>
      </w:pPr>
    </w:p>
    <w:p w14:paraId="7C2576E2" w14:textId="77777777" w:rsidR="003515CC" w:rsidRDefault="003515CC" w:rsidP="003515CC">
      <w:pPr>
        <w:tabs>
          <w:tab w:val="left" w:pos="940"/>
          <w:tab w:val="center" w:pos="4680"/>
        </w:tabs>
        <w:jc w:val="center"/>
        <w:rPr>
          <w:rFonts w:asciiTheme="majorBidi" w:hAnsiTheme="majorBidi" w:cstheme="majorBidi"/>
          <w:b/>
          <w:bCs/>
          <w:sz w:val="40"/>
          <w:szCs w:val="40"/>
        </w:rPr>
      </w:pPr>
      <w:r>
        <w:rPr>
          <w:rFonts w:asciiTheme="majorBidi" w:hAnsiTheme="majorBidi" w:cstheme="majorBidi"/>
          <w:b/>
          <w:bCs/>
          <w:sz w:val="40"/>
          <w:szCs w:val="40"/>
        </w:rPr>
        <w:t>College of Business Administration</w:t>
      </w:r>
    </w:p>
    <w:p w14:paraId="444EB27D" w14:textId="77777777" w:rsidR="003515CC" w:rsidRDefault="00F019AA" w:rsidP="00F019AA">
      <w:pPr>
        <w:tabs>
          <w:tab w:val="left" w:pos="940"/>
          <w:tab w:val="center" w:pos="4680"/>
        </w:tabs>
        <w:jc w:val="center"/>
        <w:rPr>
          <w:rFonts w:asciiTheme="majorBidi" w:hAnsiTheme="majorBidi" w:cstheme="majorBidi"/>
          <w:b/>
          <w:bCs/>
          <w:sz w:val="36"/>
          <w:szCs w:val="36"/>
        </w:rPr>
      </w:pPr>
      <w:r>
        <w:rPr>
          <w:rFonts w:asciiTheme="majorBidi" w:hAnsiTheme="majorBidi" w:cstheme="majorBidi"/>
          <w:b/>
          <w:bCs/>
          <w:sz w:val="36"/>
          <w:szCs w:val="36"/>
        </w:rPr>
        <w:t>MGT2</w:t>
      </w:r>
      <w:r w:rsidR="003515CC">
        <w:rPr>
          <w:rFonts w:asciiTheme="majorBidi" w:hAnsiTheme="majorBidi" w:cstheme="majorBidi"/>
          <w:b/>
          <w:bCs/>
          <w:sz w:val="36"/>
          <w:szCs w:val="36"/>
        </w:rPr>
        <w:t xml:space="preserve">11- </w:t>
      </w:r>
      <w:r>
        <w:rPr>
          <w:rFonts w:asciiTheme="majorBidi" w:hAnsiTheme="majorBidi" w:cstheme="majorBidi"/>
          <w:b/>
          <w:bCs/>
          <w:sz w:val="36"/>
          <w:szCs w:val="36"/>
        </w:rPr>
        <w:t>Human Recourse</w:t>
      </w:r>
      <w:r w:rsidR="003515CC">
        <w:rPr>
          <w:rFonts w:asciiTheme="majorBidi" w:hAnsiTheme="majorBidi" w:cstheme="majorBidi"/>
          <w:b/>
          <w:bCs/>
          <w:sz w:val="36"/>
          <w:szCs w:val="36"/>
        </w:rPr>
        <w:t xml:space="preserve"> Management</w:t>
      </w:r>
    </w:p>
    <w:p w14:paraId="1A223EF4" w14:textId="77777777" w:rsidR="003515CC" w:rsidRPr="00671CA4" w:rsidRDefault="000A1536" w:rsidP="00F019AA">
      <w:pPr>
        <w:jc w:val="center"/>
        <w:rPr>
          <w:rFonts w:asciiTheme="majorBidi" w:hAnsiTheme="majorBidi" w:cstheme="majorBidi"/>
          <w:b/>
          <w:bCs/>
          <w:color w:val="FF0000"/>
          <w:sz w:val="36"/>
          <w:szCs w:val="36"/>
          <w:u w:val="single"/>
        </w:rPr>
      </w:pPr>
      <w:r>
        <w:rPr>
          <w:rFonts w:asciiTheme="majorBidi" w:hAnsiTheme="majorBidi" w:cstheme="majorBidi"/>
          <w:b/>
          <w:bCs/>
          <w:color w:val="FF0000"/>
          <w:sz w:val="36"/>
          <w:szCs w:val="36"/>
          <w:u w:val="single"/>
        </w:rPr>
        <w:t>Assignment-3</w:t>
      </w:r>
    </w:p>
    <w:tbl>
      <w:tblPr>
        <w:tblStyle w:val="TableGrid"/>
        <w:tblpPr w:leftFromText="180" w:rightFromText="180" w:vertAnchor="page" w:horzAnchor="margin" w:tblpXSpec="center" w:tblpY="5431"/>
        <w:tblW w:w="10530" w:type="dxa"/>
        <w:tblLook w:val="04A0" w:firstRow="1" w:lastRow="0" w:firstColumn="1" w:lastColumn="0" w:noHBand="0" w:noVBand="1"/>
      </w:tblPr>
      <w:tblGrid>
        <w:gridCol w:w="4135"/>
        <w:gridCol w:w="6395"/>
      </w:tblGrid>
      <w:tr w:rsidR="003515CC" w14:paraId="2ED1370A" w14:textId="77777777" w:rsidTr="003515CC">
        <w:trPr>
          <w:trHeight w:val="980"/>
        </w:trPr>
        <w:tc>
          <w:tcPr>
            <w:tcW w:w="4135" w:type="dxa"/>
            <w:tcBorders>
              <w:top w:val="single" w:sz="4" w:space="0" w:color="auto"/>
              <w:left w:val="single" w:sz="4" w:space="0" w:color="auto"/>
              <w:bottom w:val="single" w:sz="4" w:space="0" w:color="auto"/>
              <w:right w:val="single" w:sz="4" w:space="0" w:color="auto"/>
            </w:tcBorders>
            <w:hideMark/>
          </w:tcPr>
          <w:p w14:paraId="2ED5CC71" w14:textId="77777777" w:rsidR="003515CC" w:rsidRDefault="00F019AA" w:rsidP="003515CC">
            <w:pPr>
              <w:rPr>
                <w:rFonts w:asciiTheme="majorBidi" w:hAnsiTheme="majorBidi" w:cstheme="majorBidi"/>
                <w:sz w:val="32"/>
                <w:szCs w:val="32"/>
              </w:rPr>
            </w:pPr>
            <w:r>
              <w:rPr>
                <w:rFonts w:asciiTheme="majorBidi" w:hAnsiTheme="majorBidi" w:cstheme="majorBidi"/>
                <w:sz w:val="32"/>
                <w:szCs w:val="32"/>
              </w:rPr>
              <w:t>Course Code : MGT 2</w:t>
            </w:r>
            <w:r w:rsidR="003515CC">
              <w:rPr>
                <w:rFonts w:asciiTheme="majorBidi" w:hAnsiTheme="majorBidi" w:cstheme="majorBidi"/>
                <w:sz w:val="32"/>
                <w:szCs w:val="32"/>
              </w:rPr>
              <w:t>11</w:t>
            </w:r>
          </w:p>
        </w:tc>
        <w:tc>
          <w:tcPr>
            <w:tcW w:w="6395" w:type="dxa"/>
            <w:tcBorders>
              <w:top w:val="single" w:sz="4" w:space="0" w:color="auto"/>
              <w:left w:val="single" w:sz="4" w:space="0" w:color="auto"/>
              <w:bottom w:val="single" w:sz="4" w:space="0" w:color="auto"/>
              <w:right w:val="single" w:sz="4" w:space="0" w:color="auto"/>
            </w:tcBorders>
            <w:hideMark/>
          </w:tcPr>
          <w:p w14:paraId="5B10CE8F" w14:textId="77777777" w:rsidR="003515CC" w:rsidRDefault="003515CC">
            <w:pPr>
              <w:rPr>
                <w:rFonts w:asciiTheme="majorBidi" w:hAnsiTheme="majorBidi" w:cstheme="majorBidi"/>
                <w:sz w:val="32"/>
                <w:szCs w:val="32"/>
              </w:rPr>
            </w:pPr>
            <w:r>
              <w:rPr>
                <w:rFonts w:asciiTheme="majorBidi" w:hAnsiTheme="majorBidi" w:cstheme="majorBidi"/>
                <w:sz w:val="32"/>
                <w:szCs w:val="32"/>
              </w:rPr>
              <w:t xml:space="preserve">Student’s Name:   </w:t>
            </w:r>
          </w:p>
        </w:tc>
      </w:tr>
      <w:tr w:rsidR="003515CC" w14:paraId="7C7C34E0" w14:textId="77777777" w:rsidTr="003515CC">
        <w:trPr>
          <w:trHeight w:val="887"/>
        </w:trPr>
        <w:tc>
          <w:tcPr>
            <w:tcW w:w="4135" w:type="dxa"/>
            <w:tcBorders>
              <w:top w:val="single" w:sz="4" w:space="0" w:color="auto"/>
              <w:left w:val="single" w:sz="4" w:space="0" w:color="auto"/>
              <w:bottom w:val="single" w:sz="4" w:space="0" w:color="auto"/>
              <w:right w:val="single" w:sz="4" w:space="0" w:color="auto"/>
            </w:tcBorders>
            <w:hideMark/>
          </w:tcPr>
          <w:p w14:paraId="2B395479" w14:textId="77777777" w:rsidR="003515CC" w:rsidRDefault="003515CC">
            <w:pPr>
              <w:rPr>
                <w:rFonts w:asciiTheme="majorBidi" w:hAnsiTheme="majorBidi" w:cstheme="majorBidi"/>
                <w:sz w:val="32"/>
                <w:szCs w:val="32"/>
              </w:rPr>
            </w:pPr>
            <w:r>
              <w:rPr>
                <w:rFonts w:asciiTheme="majorBidi" w:hAnsiTheme="majorBidi" w:cstheme="majorBidi"/>
                <w:sz w:val="32"/>
                <w:szCs w:val="32"/>
              </w:rPr>
              <w:t>Academic Year: 1439/1440 H</w:t>
            </w:r>
          </w:p>
        </w:tc>
        <w:tc>
          <w:tcPr>
            <w:tcW w:w="6395" w:type="dxa"/>
            <w:tcBorders>
              <w:top w:val="single" w:sz="4" w:space="0" w:color="auto"/>
              <w:left w:val="single" w:sz="4" w:space="0" w:color="auto"/>
              <w:bottom w:val="single" w:sz="4" w:space="0" w:color="auto"/>
              <w:right w:val="single" w:sz="4" w:space="0" w:color="auto"/>
            </w:tcBorders>
            <w:hideMark/>
          </w:tcPr>
          <w:p w14:paraId="516A77A1" w14:textId="77777777" w:rsidR="003515CC" w:rsidRDefault="003515CC">
            <w:pPr>
              <w:rPr>
                <w:rFonts w:asciiTheme="majorBidi" w:hAnsiTheme="majorBidi" w:cstheme="majorBidi"/>
                <w:sz w:val="32"/>
                <w:szCs w:val="32"/>
              </w:rPr>
            </w:pPr>
            <w:r>
              <w:rPr>
                <w:rFonts w:asciiTheme="majorBidi" w:hAnsiTheme="majorBidi" w:cstheme="majorBidi"/>
                <w:sz w:val="32"/>
                <w:szCs w:val="32"/>
              </w:rPr>
              <w:t xml:space="preserve">Students ID Number:  </w:t>
            </w:r>
          </w:p>
        </w:tc>
      </w:tr>
      <w:tr w:rsidR="003515CC" w14:paraId="1EB60507" w14:textId="77777777" w:rsidTr="003515CC">
        <w:trPr>
          <w:trHeight w:val="977"/>
        </w:trPr>
        <w:tc>
          <w:tcPr>
            <w:tcW w:w="4135" w:type="dxa"/>
            <w:tcBorders>
              <w:top w:val="single" w:sz="4" w:space="0" w:color="auto"/>
              <w:left w:val="single" w:sz="4" w:space="0" w:color="auto"/>
              <w:bottom w:val="single" w:sz="4" w:space="0" w:color="auto"/>
              <w:right w:val="single" w:sz="4" w:space="0" w:color="auto"/>
            </w:tcBorders>
            <w:hideMark/>
          </w:tcPr>
          <w:p w14:paraId="440569F7" w14:textId="77777777" w:rsidR="003515CC" w:rsidRDefault="003515CC">
            <w:pPr>
              <w:rPr>
                <w:rFonts w:asciiTheme="majorBidi" w:hAnsiTheme="majorBidi" w:cstheme="majorBidi"/>
                <w:sz w:val="32"/>
                <w:szCs w:val="32"/>
              </w:rPr>
            </w:pPr>
            <w:r>
              <w:rPr>
                <w:rFonts w:asciiTheme="majorBidi" w:hAnsiTheme="majorBidi" w:cstheme="majorBidi"/>
                <w:sz w:val="32"/>
                <w:szCs w:val="32"/>
              </w:rPr>
              <w:t>Semester: 2</w:t>
            </w:r>
            <w:r>
              <w:rPr>
                <w:rFonts w:asciiTheme="majorBidi" w:hAnsiTheme="majorBidi" w:cstheme="majorBidi"/>
                <w:sz w:val="32"/>
                <w:szCs w:val="32"/>
                <w:vertAlign w:val="superscript"/>
              </w:rPr>
              <w:t>nd</w:t>
            </w:r>
            <w:r>
              <w:rPr>
                <w:rFonts w:asciiTheme="majorBidi" w:hAnsiTheme="majorBidi" w:cstheme="majorBidi"/>
                <w:sz w:val="32"/>
                <w:szCs w:val="32"/>
              </w:rPr>
              <w:t xml:space="preserve"> </w:t>
            </w:r>
          </w:p>
        </w:tc>
        <w:tc>
          <w:tcPr>
            <w:tcW w:w="6395" w:type="dxa"/>
            <w:tcBorders>
              <w:top w:val="single" w:sz="4" w:space="0" w:color="auto"/>
              <w:left w:val="single" w:sz="4" w:space="0" w:color="auto"/>
              <w:bottom w:val="single" w:sz="4" w:space="0" w:color="auto"/>
              <w:right w:val="single" w:sz="4" w:space="0" w:color="auto"/>
            </w:tcBorders>
            <w:hideMark/>
          </w:tcPr>
          <w:p w14:paraId="1EBEF47C" w14:textId="77777777" w:rsidR="003515CC" w:rsidRDefault="003515CC">
            <w:pPr>
              <w:rPr>
                <w:rFonts w:asciiTheme="majorBidi" w:hAnsiTheme="majorBidi" w:cstheme="majorBidi"/>
                <w:sz w:val="32"/>
                <w:szCs w:val="32"/>
              </w:rPr>
            </w:pPr>
            <w:r>
              <w:rPr>
                <w:rFonts w:asciiTheme="majorBidi" w:hAnsiTheme="majorBidi" w:cstheme="majorBidi"/>
                <w:sz w:val="32"/>
                <w:szCs w:val="32"/>
              </w:rPr>
              <w:t xml:space="preserve">Students Grade:   </w:t>
            </w:r>
          </w:p>
        </w:tc>
      </w:tr>
      <w:tr w:rsidR="003515CC" w14:paraId="016FFC87" w14:textId="77777777" w:rsidTr="003515CC">
        <w:trPr>
          <w:trHeight w:val="887"/>
        </w:trPr>
        <w:tc>
          <w:tcPr>
            <w:tcW w:w="4135" w:type="dxa"/>
            <w:tcBorders>
              <w:top w:val="single" w:sz="4" w:space="0" w:color="auto"/>
              <w:left w:val="single" w:sz="4" w:space="0" w:color="auto"/>
              <w:bottom w:val="single" w:sz="4" w:space="0" w:color="auto"/>
              <w:right w:val="single" w:sz="4" w:space="0" w:color="auto"/>
            </w:tcBorders>
            <w:hideMark/>
          </w:tcPr>
          <w:p w14:paraId="47EB9810" w14:textId="77777777" w:rsidR="003515CC" w:rsidRDefault="003515CC">
            <w:pPr>
              <w:rPr>
                <w:rFonts w:asciiTheme="majorBidi" w:hAnsiTheme="majorBidi" w:cstheme="majorBidi"/>
                <w:sz w:val="32"/>
                <w:szCs w:val="32"/>
              </w:rPr>
            </w:pPr>
            <w:r>
              <w:rPr>
                <w:rFonts w:asciiTheme="majorBidi" w:hAnsiTheme="majorBidi" w:cstheme="majorBidi"/>
                <w:sz w:val="32"/>
                <w:szCs w:val="32"/>
              </w:rPr>
              <w:t xml:space="preserve">CRN: </w:t>
            </w:r>
          </w:p>
        </w:tc>
        <w:tc>
          <w:tcPr>
            <w:tcW w:w="6395" w:type="dxa"/>
            <w:tcBorders>
              <w:top w:val="single" w:sz="4" w:space="0" w:color="auto"/>
              <w:left w:val="single" w:sz="4" w:space="0" w:color="auto"/>
              <w:bottom w:val="single" w:sz="4" w:space="0" w:color="auto"/>
              <w:right w:val="single" w:sz="4" w:space="0" w:color="auto"/>
            </w:tcBorders>
            <w:hideMark/>
          </w:tcPr>
          <w:p w14:paraId="34357255" w14:textId="77777777" w:rsidR="003515CC" w:rsidRDefault="003515CC">
            <w:pPr>
              <w:rPr>
                <w:rFonts w:asciiTheme="majorBidi" w:hAnsiTheme="majorBidi" w:cstheme="majorBidi"/>
                <w:sz w:val="32"/>
                <w:szCs w:val="32"/>
              </w:rPr>
            </w:pPr>
            <w:r>
              <w:rPr>
                <w:rFonts w:asciiTheme="majorBidi" w:hAnsiTheme="majorBidi" w:cstheme="majorBidi"/>
                <w:sz w:val="32"/>
                <w:szCs w:val="32"/>
              </w:rPr>
              <w:t xml:space="preserve">Level of Mark :    </w:t>
            </w:r>
          </w:p>
        </w:tc>
      </w:tr>
    </w:tbl>
    <w:p w14:paraId="40376BC2" w14:textId="77777777" w:rsidR="003515CC" w:rsidRDefault="003515CC" w:rsidP="003515CC">
      <w:pPr>
        <w:jc w:val="center"/>
        <w:rPr>
          <w:rFonts w:asciiTheme="majorBidi" w:hAnsiTheme="majorBidi" w:cstheme="majorBidi"/>
          <w:b/>
          <w:bCs/>
          <w:color w:val="0070C0"/>
          <w:sz w:val="32"/>
          <w:szCs w:val="32"/>
        </w:rPr>
      </w:pPr>
    </w:p>
    <w:p w14:paraId="292DCB78" w14:textId="77777777" w:rsidR="003515CC" w:rsidRDefault="003515CC" w:rsidP="003515CC">
      <w:pPr>
        <w:rPr>
          <w:sz w:val="24"/>
          <w:szCs w:val="24"/>
        </w:rPr>
      </w:pPr>
    </w:p>
    <w:p w14:paraId="5CE37F4D" w14:textId="77777777" w:rsidR="003515CC" w:rsidRDefault="003515CC" w:rsidP="003515CC">
      <w:pPr>
        <w:rPr>
          <w:sz w:val="24"/>
          <w:szCs w:val="24"/>
        </w:rPr>
      </w:pPr>
    </w:p>
    <w:p w14:paraId="1E979C78" w14:textId="77777777" w:rsidR="003515CC" w:rsidRDefault="003515CC" w:rsidP="003515CC">
      <w:pPr>
        <w:rPr>
          <w:sz w:val="24"/>
          <w:szCs w:val="24"/>
        </w:rPr>
      </w:pPr>
    </w:p>
    <w:p w14:paraId="395A65DC" w14:textId="77777777" w:rsidR="003515CC" w:rsidRDefault="003515CC" w:rsidP="003515CC">
      <w:pPr>
        <w:rPr>
          <w:sz w:val="24"/>
          <w:szCs w:val="24"/>
        </w:rPr>
      </w:pPr>
    </w:p>
    <w:p w14:paraId="5C028096" w14:textId="77777777" w:rsidR="003515CC" w:rsidRDefault="003515CC" w:rsidP="003515CC">
      <w:pPr>
        <w:rPr>
          <w:sz w:val="24"/>
          <w:szCs w:val="24"/>
        </w:rPr>
      </w:pPr>
    </w:p>
    <w:p w14:paraId="670BE843" w14:textId="77777777" w:rsidR="003515CC" w:rsidRDefault="003515CC" w:rsidP="003515CC">
      <w:pPr>
        <w:rPr>
          <w:sz w:val="24"/>
          <w:szCs w:val="24"/>
        </w:rPr>
      </w:pPr>
    </w:p>
    <w:p w14:paraId="4EDA3026" w14:textId="77777777" w:rsidR="003515CC" w:rsidRDefault="003515CC" w:rsidP="003515CC">
      <w:pPr>
        <w:rPr>
          <w:sz w:val="24"/>
          <w:szCs w:val="24"/>
        </w:rPr>
      </w:pPr>
    </w:p>
    <w:p w14:paraId="23760B88" w14:textId="77777777" w:rsidR="00874B38" w:rsidRDefault="00874B38" w:rsidP="00874B38">
      <w:pPr>
        <w:pStyle w:val="Heading1"/>
        <w:jc w:val="center"/>
        <w:rPr>
          <w:rFonts w:ascii="Times New Roman" w:hAnsi="Times New Roman" w:cs="Times New Roman"/>
          <w:color w:val="C45911" w:themeColor="accent2" w:themeShade="BF"/>
          <w:sz w:val="34"/>
          <w:szCs w:val="24"/>
        </w:rPr>
      </w:pPr>
    </w:p>
    <w:p w14:paraId="02A51F33" w14:textId="77777777" w:rsidR="00874B38" w:rsidRDefault="00874B38" w:rsidP="00874B38">
      <w:pPr>
        <w:pStyle w:val="Heading1"/>
        <w:jc w:val="center"/>
        <w:rPr>
          <w:rFonts w:ascii="Times New Roman" w:hAnsi="Times New Roman" w:cs="Times New Roman"/>
          <w:color w:val="C45911" w:themeColor="accent2" w:themeShade="BF"/>
          <w:sz w:val="34"/>
          <w:szCs w:val="24"/>
        </w:rPr>
      </w:pPr>
      <w:r>
        <w:rPr>
          <w:rFonts w:ascii="Times New Roman" w:hAnsi="Times New Roman" w:cs="Times New Roman"/>
          <w:color w:val="C45911" w:themeColor="accent2" w:themeShade="BF"/>
          <w:sz w:val="34"/>
          <w:szCs w:val="24"/>
        </w:rPr>
        <w:t>Instructions for Assignment</w:t>
      </w:r>
    </w:p>
    <w:tbl>
      <w:tblPr>
        <w:tblStyle w:val="TableGrid"/>
        <w:tblW w:w="0" w:type="auto"/>
        <w:tblInd w:w="1070" w:type="dxa"/>
        <w:tblLook w:val="04A0" w:firstRow="1" w:lastRow="0" w:firstColumn="1" w:lastColumn="0" w:noHBand="0" w:noVBand="1"/>
      </w:tblPr>
      <w:tblGrid>
        <w:gridCol w:w="3666"/>
        <w:gridCol w:w="3744"/>
      </w:tblGrid>
      <w:tr w:rsidR="00874B38" w14:paraId="483894A2" w14:textId="77777777" w:rsidTr="00874B38">
        <w:tc>
          <w:tcPr>
            <w:tcW w:w="3666" w:type="dxa"/>
            <w:tcBorders>
              <w:top w:val="single" w:sz="4" w:space="0" w:color="auto"/>
              <w:left w:val="single" w:sz="4" w:space="0" w:color="auto"/>
              <w:bottom w:val="single" w:sz="4" w:space="0" w:color="auto"/>
              <w:right w:val="single" w:sz="4" w:space="0" w:color="auto"/>
            </w:tcBorders>
            <w:vAlign w:val="center"/>
            <w:hideMark/>
          </w:tcPr>
          <w:p w14:paraId="13AAA340" w14:textId="77777777" w:rsidR="00874B38" w:rsidRDefault="00874B38">
            <w:pPr>
              <w:tabs>
                <w:tab w:val="left" w:pos="821"/>
              </w:tabs>
              <w:jc w:val="center"/>
              <w:rPr>
                <w:sz w:val="24"/>
                <w:szCs w:val="24"/>
              </w:rPr>
            </w:pPr>
            <w:r>
              <w:rPr>
                <w:sz w:val="24"/>
                <w:szCs w:val="24"/>
              </w:rPr>
              <w:t>Due date for Submission</w:t>
            </w:r>
          </w:p>
        </w:tc>
        <w:tc>
          <w:tcPr>
            <w:tcW w:w="3744" w:type="dxa"/>
            <w:tcBorders>
              <w:top w:val="single" w:sz="4" w:space="0" w:color="auto"/>
              <w:left w:val="single" w:sz="4" w:space="0" w:color="auto"/>
              <w:bottom w:val="single" w:sz="4" w:space="0" w:color="auto"/>
              <w:right w:val="single" w:sz="4" w:space="0" w:color="auto"/>
            </w:tcBorders>
            <w:vAlign w:val="center"/>
            <w:hideMark/>
          </w:tcPr>
          <w:p w14:paraId="144578D1" w14:textId="77777777" w:rsidR="00874B38" w:rsidRDefault="00874B38">
            <w:pPr>
              <w:tabs>
                <w:tab w:val="left" w:pos="821"/>
              </w:tabs>
              <w:jc w:val="center"/>
              <w:rPr>
                <w:sz w:val="24"/>
                <w:szCs w:val="24"/>
              </w:rPr>
            </w:pPr>
            <w:r>
              <w:rPr>
                <w:sz w:val="24"/>
                <w:szCs w:val="24"/>
              </w:rPr>
              <w:t>End of Week 13</w:t>
            </w:r>
          </w:p>
        </w:tc>
      </w:tr>
      <w:tr w:rsidR="00874B38" w14:paraId="08451EE4" w14:textId="77777777" w:rsidTr="00874B38">
        <w:tc>
          <w:tcPr>
            <w:tcW w:w="3666" w:type="dxa"/>
            <w:tcBorders>
              <w:top w:val="single" w:sz="4" w:space="0" w:color="auto"/>
              <w:left w:val="single" w:sz="4" w:space="0" w:color="auto"/>
              <w:bottom w:val="single" w:sz="4" w:space="0" w:color="auto"/>
              <w:right w:val="single" w:sz="4" w:space="0" w:color="auto"/>
            </w:tcBorders>
            <w:vAlign w:val="center"/>
            <w:hideMark/>
          </w:tcPr>
          <w:p w14:paraId="3DAAF939" w14:textId="77777777" w:rsidR="00874B38" w:rsidRDefault="00874B38">
            <w:pPr>
              <w:tabs>
                <w:tab w:val="left" w:pos="821"/>
              </w:tabs>
              <w:jc w:val="center"/>
              <w:rPr>
                <w:sz w:val="24"/>
                <w:szCs w:val="24"/>
              </w:rPr>
            </w:pPr>
            <w:r>
              <w:rPr>
                <w:sz w:val="24"/>
                <w:szCs w:val="24"/>
              </w:rPr>
              <w:t>Maximum Marks:</w:t>
            </w:r>
          </w:p>
        </w:tc>
        <w:tc>
          <w:tcPr>
            <w:tcW w:w="3744" w:type="dxa"/>
            <w:tcBorders>
              <w:top w:val="single" w:sz="4" w:space="0" w:color="auto"/>
              <w:left w:val="single" w:sz="4" w:space="0" w:color="auto"/>
              <w:bottom w:val="single" w:sz="4" w:space="0" w:color="auto"/>
              <w:right w:val="single" w:sz="4" w:space="0" w:color="auto"/>
            </w:tcBorders>
            <w:vAlign w:val="center"/>
            <w:hideMark/>
          </w:tcPr>
          <w:p w14:paraId="6327C889" w14:textId="77777777" w:rsidR="00874B38" w:rsidRDefault="00874B38">
            <w:pPr>
              <w:tabs>
                <w:tab w:val="left" w:pos="821"/>
              </w:tabs>
              <w:jc w:val="center"/>
              <w:rPr>
                <w:sz w:val="24"/>
                <w:szCs w:val="24"/>
              </w:rPr>
            </w:pPr>
            <w:r>
              <w:rPr>
                <w:sz w:val="24"/>
                <w:szCs w:val="24"/>
              </w:rPr>
              <w:t>05</w:t>
            </w:r>
          </w:p>
        </w:tc>
      </w:tr>
      <w:tr w:rsidR="00874B38" w14:paraId="5345453B" w14:textId="77777777" w:rsidTr="00874B38">
        <w:tc>
          <w:tcPr>
            <w:tcW w:w="3666" w:type="dxa"/>
            <w:tcBorders>
              <w:top w:val="single" w:sz="4" w:space="0" w:color="auto"/>
              <w:left w:val="single" w:sz="4" w:space="0" w:color="auto"/>
              <w:bottom w:val="single" w:sz="4" w:space="0" w:color="auto"/>
              <w:right w:val="single" w:sz="4" w:space="0" w:color="auto"/>
            </w:tcBorders>
            <w:vAlign w:val="center"/>
            <w:hideMark/>
          </w:tcPr>
          <w:p w14:paraId="5EBED29D" w14:textId="77777777" w:rsidR="00874B38" w:rsidRDefault="00874B38">
            <w:pPr>
              <w:tabs>
                <w:tab w:val="left" w:pos="821"/>
              </w:tabs>
              <w:jc w:val="center"/>
              <w:rPr>
                <w:sz w:val="24"/>
                <w:szCs w:val="24"/>
              </w:rPr>
            </w:pPr>
            <w:r>
              <w:rPr>
                <w:sz w:val="24"/>
                <w:szCs w:val="24"/>
              </w:rPr>
              <w:t>Submission Mode</w:t>
            </w:r>
          </w:p>
        </w:tc>
        <w:tc>
          <w:tcPr>
            <w:tcW w:w="3744" w:type="dxa"/>
            <w:tcBorders>
              <w:top w:val="single" w:sz="4" w:space="0" w:color="auto"/>
              <w:left w:val="single" w:sz="4" w:space="0" w:color="auto"/>
              <w:bottom w:val="single" w:sz="4" w:space="0" w:color="auto"/>
              <w:right w:val="single" w:sz="4" w:space="0" w:color="auto"/>
            </w:tcBorders>
            <w:vAlign w:val="center"/>
            <w:hideMark/>
          </w:tcPr>
          <w:p w14:paraId="59A2BD4E" w14:textId="77777777" w:rsidR="00874B38" w:rsidRDefault="00874B38">
            <w:pPr>
              <w:tabs>
                <w:tab w:val="left" w:pos="821"/>
              </w:tabs>
              <w:jc w:val="center"/>
              <w:rPr>
                <w:sz w:val="24"/>
                <w:szCs w:val="24"/>
              </w:rPr>
            </w:pPr>
            <w:r>
              <w:rPr>
                <w:sz w:val="24"/>
                <w:szCs w:val="24"/>
              </w:rPr>
              <w:t>through</w:t>
            </w:r>
            <w:r>
              <w:rPr>
                <w:spacing w:val="-19"/>
                <w:sz w:val="24"/>
                <w:szCs w:val="24"/>
              </w:rPr>
              <w:t xml:space="preserve"> </w:t>
            </w:r>
            <w:r>
              <w:rPr>
                <w:sz w:val="24"/>
                <w:szCs w:val="24"/>
              </w:rPr>
              <w:t>blackboard</w:t>
            </w:r>
          </w:p>
        </w:tc>
      </w:tr>
      <w:tr w:rsidR="00874B38" w14:paraId="64F4F15D" w14:textId="77777777" w:rsidTr="00874B38">
        <w:tc>
          <w:tcPr>
            <w:tcW w:w="3666" w:type="dxa"/>
            <w:tcBorders>
              <w:top w:val="single" w:sz="4" w:space="0" w:color="auto"/>
              <w:left w:val="single" w:sz="4" w:space="0" w:color="auto"/>
              <w:bottom w:val="single" w:sz="4" w:space="0" w:color="auto"/>
              <w:right w:val="single" w:sz="4" w:space="0" w:color="auto"/>
            </w:tcBorders>
            <w:vAlign w:val="center"/>
            <w:hideMark/>
          </w:tcPr>
          <w:p w14:paraId="237DD7DB" w14:textId="77777777" w:rsidR="00874B38" w:rsidRDefault="00874B38">
            <w:pPr>
              <w:tabs>
                <w:tab w:val="left" w:pos="821"/>
              </w:tabs>
              <w:spacing w:before="193"/>
              <w:jc w:val="center"/>
              <w:rPr>
                <w:sz w:val="24"/>
                <w:szCs w:val="24"/>
              </w:rPr>
            </w:pPr>
            <w:r>
              <w:rPr>
                <w:sz w:val="24"/>
                <w:szCs w:val="24"/>
              </w:rPr>
              <w:t>Submission method</w:t>
            </w:r>
          </w:p>
        </w:tc>
        <w:tc>
          <w:tcPr>
            <w:tcW w:w="3744" w:type="dxa"/>
            <w:tcBorders>
              <w:top w:val="single" w:sz="4" w:space="0" w:color="auto"/>
              <w:left w:val="single" w:sz="4" w:space="0" w:color="auto"/>
              <w:bottom w:val="single" w:sz="4" w:space="0" w:color="auto"/>
              <w:right w:val="single" w:sz="4" w:space="0" w:color="auto"/>
            </w:tcBorders>
            <w:vAlign w:val="center"/>
            <w:hideMark/>
          </w:tcPr>
          <w:p w14:paraId="2DCEA3DB" w14:textId="77777777" w:rsidR="00874B38" w:rsidRDefault="00874B38">
            <w:pPr>
              <w:tabs>
                <w:tab w:val="left" w:pos="821"/>
              </w:tabs>
              <w:jc w:val="center"/>
              <w:rPr>
                <w:sz w:val="24"/>
                <w:szCs w:val="24"/>
              </w:rPr>
            </w:pPr>
            <w:r>
              <w:rPr>
                <w:sz w:val="24"/>
                <w:szCs w:val="24"/>
              </w:rPr>
              <w:t xml:space="preserve">Only </w:t>
            </w:r>
            <w:r>
              <w:rPr>
                <w:sz w:val="24"/>
                <w:szCs w:val="24"/>
                <w:highlight w:val="yellow"/>
              </w:rPr>
              <w:t>WORD DOCUMENT</w:t>
            </w:r>
            <w:r>
              <w:rPr>
                <w:sz w:val="24"/>
                <w:szCs w:val="24"/>
              </w:rPr>
              <w:t xml:space="preserve"> </w:t>
            </w:r>
          </w:p>
          <w:p w14:paraId="6B70E458" w14:textId="77777777" w:rsidR="00874B38" w:rsidRDefault="00874B38">
            <w:pPr>
              <w:tabs>
                <w:tab w:val="left" w:pos="821"/>
              </w:tabs>
              <w:jc w:val="center"/>
              <w:rPr>
                <w:sz w:val="24"/>
                <w:szCs w:val="24"/>
              </w:rPr>
            </w:pPr>
            <w:r>
              <w:rPr>
                <w:sz w:val="24"/>
                <w:szCs w:val="24"/>
              </w:rPr>
              <w:t>PDF not accepted</w:t>
            </w:r>
          </w:p>
        </w:tc>
      </w:tr>
    </w:tbl>
    <w:p w14:paraId="23DC5E1E" w14:textId="77777777" w:rsidR="00874B38" w:rsidRDefault="00874B38" w:rsidP="00874B38">
      <w:pPr>
        <w:pStyle w:val="Heading1"/>
        <w:spacing w:before="157"/>
        <w:rPr>
          <w:rFonts w:ascii="Times New Roman" w:hAnsi="Times New Roman" w:cs="Times New Roman"/>
          <w:color w:val="C45911" w:themeColor="accent2" w:themeShade="BF"/>
          <w:sz w:val="28"/>
          <w:szCs w:val="24"/>
        </w:rPr>
      </w:pPr>
      <w:r>
        <w:rPr>
          <w:rFonts w:ascii="Times New Roman" w:hAnsi="Times New Roman" w:cs="Times New Roman"/>
          <w:color w:val="C45911" w:themeColor="accent2" w:themeShade="BF"/>
          <w:sz w:val="28"/>
          <w:szCs w:val="24"/>
        </w:rPr>
        <w:t>Assignment Regulations:</w:t>
      </w:r>
    </w:p>
    <w:p w14:paraId="58137CDD" w14:textId="77777777" w:rsidR="00874B38" w:rsidRDefault="00874B38" w:rsidP="00874B38">
      <w:pPr>
        <w:pStyle w:val="ListParagraph"/>
        <w:widowControl w:val="0"/>
        <w:numPr>
          <w:ilvl w:val="0"/>
          <w:numId w:val="6"/>
        </w:numPr>
        <w:tabs>
          <w:tab w:val="left" w:pos="821"/>
        </w:tabs>
        <w:overflowPunct/>
        <w:adjustRightInd/>
        <w:spacing w:line="305" w:lineRule="exact"/>
        <w:contextualSpacing w:val="0"/>
        <w:textAlignment w:val="auto"/>
        <w:rPr>
          <w:sz w:val="24"/>
          <w:szCs w:val="24"/>
        </w:rPr>
      </w:pPr>
      <w:r>
        <w:rPr>
          <w:sz w:val="24"/>
          <w:szCs w:val="24"/>
        </w:rPr>
        <w:t>This assignment is an individual</w:t>
      </w:r>
      <w:r>
        <w:rPr>
          <w:spacing w:val="-12"/>
          <w:sz w:val="24"/>
          <w:szCs w:val="24"/>
        </w:rPr>
        <w:t xml:space="preserve"> </w:t>
      </w:r>
      <w:r>
        <w:rPr>
          <w:sz w:val="24"/>
          <w:szCs w:val="24"/>
        </w:rPr>
        <w:t>assignment.</w:t>
      </w:r>
    </w:p>
    <w:p w14:paraId="7EAA0D90" w14:textId="77777777" w:rsidR="00874B38" w:rsidRDefault="00874B38" w:rsidP="00874B38">
      <w:pPr>
        <w:pStyle w:val="ListParagraph"/>
        <w:widowControl w:val="0"/>
        <w:numPr>
          <w:ilvl w:val="0"/>
          <w:numId w:val="6"/>
        </w:numPr>
        <w:tabs>
          <w:tab w:val="left" w:pos="821"/>
        </w:tabs>
        <w:overflowPunct/>
        <w:adjustRightInd/>
        <w:spacing w:line="305" w:lineRule="exact"/>
        <w:contextualSpacing w:val="0"/>
        <w:textAlignment w:val="auto"/>
        <w:rPr>
          <w:sz w:val="24"/>
          <w:szCs w:val="24"/>
        </w:rPr>
      </w:pPr>
      <w:r>
        <w:rPr>
          <w:sz w:val="24"/>
          <w:szCs w:val="24"/>
        </w:rPr>
        <w:t>All students are encouraged to use their own</w:t>
      </w:r>
      <w:r>
        <w:rPr>
          <w:spacing w:val="-28"/>
          <w:sz w:val="24"/>
          <w:szCs w:val="24"/>
        </w:rPr>
        <w:t xml:space="preserve"> </w:t>
      </w:r>
      <w:r>
        <w:rPr>
          <w:sz w:val="24"/>
          <w:szCs w:val="24"/>
        </w:rPr>
        <w:t>word.</w:t>
      </w:r>
    </w:p>
    <w:p w14:paraId="5CD74100" w14:textId="77777777" w:rsidR="00874B38" w:rsidRDefault="00874B38" w:rsidP="00874B38">
      <w:pPr>
        <w:pStyle w:val="ListParagraph"/>
        <w:widowControl w:val="0"/>
        <w:numPr>
          <w:ilvl w:val="0"/>
          <w:numId w:val="6"/>
        </w:numPr>
        <w:tabs>
          <w:tab w:val="left" w:pos="821"/>
        </w:tabs>
        <w:overflowPunct/>
        <w:adjustRightInd/>
        <w:spacing w:line="305" w:lineRule="exact"/>
        <w:contextualSpacing w:val="0"/>
        <w:textAlignment w:val="auto"/>
        <w:rPr>
          <w:sz w:val="24"/>
          <w:szCs w:val="24"/>
        </w:rPr>
      </w:pPr>
      <w:r>
        <w:rPr>
          <w:sz w:val="24"/>
          <w:szCs w:val="24"/>
        </w:rPr>
        <w:t>Student must apply Harvard Referencing Style within their</w:t>
      </w:r>
      <w:r>
        <w:rPr>
          <w:spacing w:val="-28"/>
          <w:sz w:val="24"/>
          <w:szCs w:val="24"/>
        </w:rPr>
        <w:t xml:space="preserve"> </w:t>
      </w:r>
      <w:r>
        <w:rPr>
          <w:sz w:val="24"/>
          <w:szCs w:val="24"/>
        </w:rPr>
        <w:t>reports.</w:t>
      </w:r>
    </w:p>
    <w:p w14:paraId="48E58839" w14:textId="77777777" w:rsidR="00874B38" w:rsidRDefault="00874B38" w:rsidP="00874B38">
      <w:pPr>
        <w:pStyle w:val="ListParagraph"/>
        <w:widowControl w:val="0"/>
        <w:numPr>
          <w:ilvl w:val="0"/>
          <w:numId w:val="6"/>
        </w:numPr>
        <w:tabs>
          <w:tab w:val="left" w:pos="821"/>
        </w:tabs>
        <w:overflowPunct/>
        <w:adjustRightInd/>
        <w:ind w:right="941"/>
        <w:contextualSpacing w:val="0"/>
        <w:textAlignment w:val="auto"/>
        <w:rPr>
          <w:sz w:val="24"/>
          <w:szCs w:val="24"/>
        </w:rPr>
      </w:pPr>
      <w:r>
        <w:rPr>
          <w:sz w:val="24"/>
          <w:szCs w:val="24"/>
        </w:rPr>
        <w:t>A mark of zero will be given for any submission that includes copying from</w:t>
      </w:r>
      <w:r>
        <w:rPr>
          <w:spacing w:val="-35"/>
          <w:sz w:val="24"/>
          <w:szCs w:val="24"/>
        </w:rPr>
        <w:t xml:space="preserve"> </w:t>
      </w:r>
      <w:r>
        <w:rPr>
          <w:sz w:val="24"/>
          <w:szCs w:val="24"/>
        </w:rPr>
        <w:t>other resource without referencing</w:t>
      </w:r>
      <w:r>
        <w:rPr>
          <w:spacing w:val="-16"/>
          <w:sz w:val="24"/>
          <w:szCs w:val="24"/>
        </w:rPr>
        <w:t xml:space="preserve"> </w:t>
      </w:r>
      <w:r>
        <w:rPr>
          <w:sz w:val="24"/>
          <w:szCs w:val="24"/>
        </w:rPr>
        <w:t>it</w:t>
      </w:r>
    </w:p>
    <w:p w14:paraId="28A7C9C7" w14:textId="77777777" w:rsidR="00874B38" w:rsidRDefault="00874B38" w:rsidP="00874B38">
      <w:pPr>
        <w:rPr>
          <w:rFonts w:eastAsia="Calibri"/>
          <w:sz w:val="24"/>
          <w:szCs w:val="24"/>
        </w:rPr>
        <w:sectPr w:rsidR="00874B38">
          <w:pgSz w:w="12240" w:h="15840"/>
          <w:pgMar w:top="1400" w:right="1320" w:bottom="280" w:left="1340" w:header="720" w:footer="720" w:gutter="0"/>
          <w:cols w:space="720"/>
        </w:sectPr>
      </w:pPr>
    </w:p>
    <w:p w14:paraId="47F48D51" w14:textId="77777777" w:rsidR="003515CC" w:rsidRDefault="003515CC" w:rsidP="003515CC">
      <w:pPr>
        <w:rPr>
          <w:sz w:val="24"/>
          <w:szCs w:val="24"/>
        </w:rPr>
      </w:pPr>
    </w:p>
    <w:p w14:paraId="0BDE34D8" w14:textId="77777777" w:rsidR="002435ED" w:rsidRDefault="002435ED" w:rsidP="002435ED">
      <w:pPr>
        <w:rPr>
          <w:b/>
          <w:bCs/>
          <w:sz w:val="32"/>
          <w:szCs w:val="32"/>
        </w:rPr>
      </w:pPr>
    </w:p>
    <w:p w14:paraId="669E02D5" w14:textId="77777777" w:rsidR="008E644D" w:rsidRDefault="00F019AA" w:rsidP="00F019AA">
      <w:pPr>
        <w:jc w:val="center"/>
        <w:rPr>
          <w:b/>
          <w:bCs/>
          <w:sz w:val="32"/>
          <w:szCs w:val="32"/>
        </w:rPr>
      </w:pPr>
      <w:r>
        <w:rPr>
          <w:b/>
          <w:bCs/>
          <w:sz w:val="32"/>
          <w:szCs w:val="32"/>
        </w:rPr>
        <w:t>Case Study</w:t>
      </w:r>
    </w:p>
    <w:p w14:paraId="56DF8057" w14:textId="77777777" w:rsidR="00F019AA" w:rsidRDefault="00F019AA" w:rsidP="00F019AA">
      <w:pPr>
        <w:jc w:val="center"/>
        <w:rPr>
          <w:b/>
          <w:bCs/>
          <w:sz w:val="32"/>
          <w:szCs w:val="32"/>
        </w:rPr>
      </w:pPr>
    </w:p>
    <w:p w14:paraId="574B7713" w14:textId="77777777" w:rsidR="00F019AA" w:rsidRDefault="00F019AA" w:rsidP="00F019AA">
      <w:pPr>
        <w:spacing w:line="360" w:lineRule="auto"/>
        <w:jc w:val="both"/>
        <w:rPr>
          <w:rFonts w:asciiTheme="majorBidi" w:hAnsiTheme="majorBidi" w:cstheme="majorBidi"/>
          <w:color w:val="231F20"/>
          <w:sz w:val="24"/>
          <w:szCs w:val="24"/>
        </w:rPr>
      </w:pPr>
      <w:r w:rsidRPr="00F019AA">
        <w:rPr>
          <w:rFonts w:asciiTheme="majorBidi" w:hAnsiTheme="majorBidi" w:cstheme="majorBidi"/>
          <w:color w:val="231F20"/>
          <w:sz w:val="24"/>
          <w:szCs w:val="24"/>
        </w:rPr>
        <w:t>Imagine working in an organization where employee morale is low, turnover is high, and the costs of hiring are astronomical.</w:t>
      </w:r>
    </w:p>
    <w:p w14:paraId="0523FC35" w14:textId="77777777" w:rsidR="00F019AA" w:rsidRPr="00F019AA" w:rsidRDefault="00F019AA" w:rsidP="00F019AA">
      <w:pPr>
        <w:spacing w:line="360" w:lineRule="auto"/>
        <w:jc w:val="both"/>
        <w:rPr>
          <w:rFonts w:asciiTheme="majorBidi" w:hAnsiTheme="majorBidi" w:cstheme="majorBidi"/>
          <w:color w:val="231F20"/>
          <w:sz w:val="24"/>
          <w:szCs w:val="24"/>
        </w:rPr>
      </w:pPr>
      <w:r w:rsidRPr="00F019AA">
        <w:rPr>
          <w:rFonts w:asciiTheme="majorBidi" w:hAnsiTheme="majorBidi" w:cstheme="majorBidi"/>
          <w:color w:val="231F20"/>
          <w:sz w:val="24"/>
          <w:szCs w:val="24"/>
        </w:rPr>
        <w:t xml:space="preserve"> If that were the case, you’d imagine the employer would go to great lengths to find, attract, and retain quality employees. Couple this goal with the reality of the economic picture—you simply cannot afford to provide expensive benefits for employees who may leave you for a different employer offering an extra $1,000 in salary or benefits. Knowing that 41 percent of all employees have no loyalty to their employers and will move on if a better offer comes adds to the dilemma. These issues clearly are a concern for organizations like</w:t>
      </w:r>
      <w:r>
        <w:rPr>
          <w:rFonts w:asciiTheme="majorBidi" w:hAnsiTheme="majorBidi" w:cstheme="majorBidi"/>
          <w:color w:val="231F20"/>
          <w:sz w:val="24"/>
          <w:szCs w:val="24"/>
        </w:rPr>
        <w:t xml:space="preserve"> </w:t>
      </w:r>
      <w:r w:rsidRPr="00F019AA">
        <w:rPr>
          <w:rFonts w:asciiTheme="majorBidi" w:hAnsiTheme="majorBidi" w:cstheme="majorBidi"/>
          <w:color w:val="231F20"/>
          <w:sz w:val="24"/>
          <w:szCs w:val="24"/>
        </w:rPr>
        <w:t>Genentech or Zappos. But they don’t fret over them. That’s because they have found that treating employees with respect, and giving them such things as bonuses, rewards for longevity, onsite child care, lunches, and sending employees home with prepared dinners really works. Genentech is a California company that “develops and produces drugs that cure diseases,” according to the company website. The company celebrated its thirteenth year on Fortune’s “Best Places to work” list in 2011, also receiving “Best Places to Work” honors from Working Mother, LGBT Equality, and Computerworld. The reasons for this recognition are the important work that they do and the strong company culture that values equality and communication. Any discussion of how great it is to work at Genentech always circles back to the benefits that show a real respect for employees. In addition to traditional benefits like retirement and healthcare, they provide family-friendly perks such as unlimited sick leave, personal concierge service, flexible work scheduling, childcare, nursing mother’s rooms, onsite nurses, adoption assistance, and company sponsored family events. The list of innovative benefits goes on to include unusual benefits like pet insurance, free snacks, and paid six week sabbaticals every six years! Zappos, the online shoe retailer, offers perks that match their fun-loving culture like pajama parties, nap rooms, regular happy hours, and a full-time life coach. Have these benefits worked for Genentech and Zappos? If you translate longevity to morale and loyalty, you’d say they have. Both boast low turnover rates and high employee ratings for workplace satisfaction.</w:t>
      </w:r>
    </w:p>
    <w:p w14:paraId="508F2ABC" w14:textId="77777777" w:rsidR="00F019AA" w:rsidRDefault="00F019AA" w:rsidP="00F019AA">
      <w:pPr>
        <w:spacing w:line="360" w:lineRule="auto"/>
        <w:rPr>
          <w:rFonts w:asciiTheme="majorBidi" w:hAnsiTheme="majorBidi" w:cstheme="majorBidi"/>
          <w:color w:val="231F20"/>
          <w:sz w:val="24"/>
          <w:szCs w:val="24"/>
        </w:rPr>
      </w:pPr>
    </w:p>
    <w:p w14:paraId="1F6751F4" w14:textId="77777777" w:rsidR="00F019AA" w:rsidRDefault="00F019AA" w:rsidP="00F019AA">
      <w:pPr>
        <w:spacing w:line="360" w:lineRule="auto"/>
        <w:rPr>
          <w:rFonts w:asciiTheme="majorBidi" w:hAnsiTheme="majorBidi" w:cstheme="majorBidi"/>
          <w:color w:val="231F20"/>
          <w:sz w:val="24"/>
          <w:szCs w:val="24"/>
        </w:rPr>
      </w:pPr>
    </w:p>
    <w:p w14:paraId="59BFC772" w14:textId="77777777" w:rsidR="00F019AA" w:rsidRDefault="00F019AA" w:rsidP="00F019AA">
      <w:pPr>
        <w:spacing w:line="360" w:lineRule="auto"/>
        <w:rPr>
          <w:rFonts w:asciiTheme="majorBidi" w:hAnsiTheme="majorBidi" w:cstheme="majorBidi"/>
          <w:color w:val="231F20"/>
          <w:sz w:val="24"/>
          <w:szCs w:val="24"/>
        </w:rPr>
      </w:pPr>
    </w:p>
    <w:p w14:paraId="6C7306D8" w14:textId="77777777" w:rsidR="00F019AA" w:rsidRDefault="00F019AA" w:rsidP="005658C4">
      <w:pPr>
        <w:spacing w:line="480" w:lineRule="auto"/>
        <w:rPr>
          <w:rFonts w:asciiTheme="majorBidi" w:hAnsiTheme="majorBidi" w:cstheme="majorBidi"/>
          <w:b/>
          <w:bCs/>
          <w:color w:val="231F20"/>
          <w:sz w:val="24"/>
          <w:szCs w:val="24"/>
        </w:rPr>
      </w:pPr>
      <w:r w:rsidRPr="00E700F7">
        <w:rPr>
          <w:rFonts w:asciiTheme="majorBidi" w:hAnsiTheme="majorBidi" w:cstheme="majorBidi"/>
          <w:b/>
          <w:bCs/>
          <w:color w:val="231F20"/>
          <w:sz w:val="24"/>
          <w:szCs w:val="24"/>
        </w:rPr>
        <w:lastRenderedPageBreak/>
        <w:t>Qu</w:t>
      </w:r>
      <w:bookmarkStart w:id="0" w:name="_GoBack"/>
      <w:bookmarkEnd w:id="0"/>
      <w:r w:rsidRPr="00E700F7">
        <w:rPr>
          <w:rFonts w:asciiTheme="majorBidi" w:hAnsiTheme="majorBidi" w:cstheme="majorBidi"/>
          <w:b/>
          <w:bCs/>
          <w:color w:val="231F20"/>
          <w:sz w:val="24"/>
          <w:szCs w:val="24"/>
        </w:rPr>
        <w:t>estions:</w:t>
      </w:r>
    </w:p>
    <w:p w14:paraId="3106A173" w14:textId="77777777" w:rsidR="005658C4" w:rsidRPr="00827A7D" w:rsidRDefault="005658C4" w:rsidP="005658C4">
      <w:pPr>
        <w:spacing w:line="480" w:lineRule="auto"/>
        <w:rPr>
          <w:b/>
          <w:sz w:val="24"/>
          <w:szCs w:val="24"/>
        </w:rPr>
      </w:pPr>
      <w:r w:rsidRPr="00827A7D">
        <w:rPr>
          <w:b/>
          <w:bCs/>
          <w:sz w:val="24"/>
          <w:szCs w:val="24"/>
        </w:rPr>
        <w:t xml:space="preserve">1. </w:t>
      </w:r>
      <w:r w:rsidRPr="00827A7D">
        <w:rPr>
          <w:b/>
          <w:sz w:val="24"/>
          <w:szCs w:val="24"/>
        </w:rPr>
        <w:t>Describe the importance of employee benefits as a strategic component of fulfilling the goals of HRM at Genentech and Zappos?</w:t>
      </w:r>
    </w:p>
    <w:p w14:paraId="666C9649" w14:textId="77777777" w:rsidR="005658C4" w:rsidRDefault="005658C4" w:rsidP="005658C4">
      <w:pPr>
        <w:spacing w:line="480" w:lineRule="auto"/>
        <w:rPr>
          <w:sz w:val="24"/>
          <w:szCs w:val="24"/>
        </w:rPr>
      </w:pPr>
      <w:r>
        <w:rPr>
          <w:sz w:val="24"/>
          <w:szCs w:val="24"/>
        </w:rPr>
        <w:t xml:space="preserve">Employee benefits are important in the fulfillment of the Human Resource Management goals in the sense that it motivates the employees to work better by improving their morale. The benefits provided in the organization gives the employees reasons to continue working, which in turn reduces the turnover rate. In the long run, it also cuts the costs incurred in hiring new employees by retaining the present ones. Additionally, the current employees are able to work for long in the organization by remaining loyal to their employer, which is attributed to the benefits they get. </w:t>
      </w:r>
    </w:p>
    <w:p w14:paraId="7EAE9591" w14:textId="77777777" w:rsidR="005658C4" w:rsidRDefault="005658C4" w:rsidP="005658C4">
      <w:pPr>
        <w:spacing w:line="480" w:lineRule="auto"/>
        <w:rPr>
          <w:b/>
          <w:sz w:val="24"/>
          <w:szCs w:val="24"/>
        </w:rPr>
      </w:pPr>
      <w:r w:rsidRPr="00827A7D">
        <w:rPr>
          <w:b/>
          <w:bCs/>
          <w:sz w:val="24"/>
          <w:szCs w:val="24"/>
        </w:rPr>
        <w:t xml:space="preserve">2. </w:t>
      </w:r>
      <w:r w:rsidRPr="00827A7D">
        <w:rPr>
          <w:b/>
          <w:sz w:val="24"/>
          <w:szCs w:val="24"/>
        </w:rPr>
        <w:t>Explain how Gene</w:t>
      </w:r>
      <w:r>
        <w:rPr>
          <w:b/>
          <w:sz w:val="24"/>
          <w:szCs w:val="24"/>
        </w:rPr>
        <w:t>ntech and Zappos use employee be</w:t>
      </w:r>
      <w:r w:rsidRPr="00827A7D">
        <w:rPr>
          <w:b/>
          <w:sz w:val="24"/>
          <w:szCs w:val="24"/>
        </w:rPr>
        <w:t>nefits as a motivating tool?</w:t>
      </w:r>
    </w:p>
    <w:p w14:paraId="0AACE2C6" w14:textId="77777777" w:rsidR="005658C4" w:rsidRPr="00827A7D" w:rsidRDefault="005658C4" w:rsidP="005658C4">
      <w:pPr>
        <w:spacing w:line="480" w:lineRule="auto"/>
        <w:rPr>
          <w:sz w:val="24"/>
          <w:szCs w:val="24"/>
        </w:rPr>
      </w:pPr>
      <w:r>
        <w:rPr>
          <w:sz w:val="24"/>
          <w:szCs w:val="24"/>
        </w:rPr>
        <w:t>Genentech and Zappos use employee benefits as a motivational tool by creating a conducive environment in the workplace for employees. Such benefits as bonuses, rewards, child-care services and giving of food in the workplace are an important in ensuring that they work in a caring environment for better performance.</w:t>
      </w:r>
      <w:r w:rsidRPr="00B63E0B">
        <w:rPr>
          <w:sz w:val="24"/>
          <w:szCs w:val="24"/>
        </w:rPr>
        <w:t xml:space="preserve"> </w:t>
      </w:r>
      <w:r>
        <w:rPr>
          <w:sz w:val="24"/>
          <w:szCs w:val="24"/>
        </w:rPr>
        <w:t>Good communication, respect and equal treatment of employees makes them feel valued and this motivates them, which in turn improves productivity. Other benefits like healthcare which involves unlimited healing period and all other family benefits are an important factor in motivation.</w:t>
      </w:r>
    </w:p>
    <w:p w14:paraId="69123B58" w14:textId="77777777" w:rsidR="005658C4" w:rsidRDefault="005658C4" w:rsidP="005658C4">
      <w:pPr>
        <w:spacing w:line="480" w:lineRule="auto"/>
        <w:rPr>
          <w:b/>
          <w:sz w:val="24"/>
          <w:szCs w:val="24"/>
        </w:rPr>
      </w:pPr>
      <w:r w:rsidRPr="00827A7D">
        <w:rPr>
          <w:b/>
          <w:bCs/>
          <w:sz w:val="24"/>
          <w:szCs w:val="24"/>
        </w:rPr>
        <w:t xml:space="preserve">3. </w:t>
      </w:r>
      <w:r w:rsidRPr="00827A7D">
        <w:rPr>
          <w:b/>
          <w:sz w:val="24"/>
          <w:szCs w:val="24"/>
        </w:rPr>
        <w:t>Do you believe the incentive benefits such as those offered at Genentech and Zappos can be used in other organizations? Why or why not?</w:t>
      </w:r>
    </w:p>
    <w:p w14:paraId="7B7B8B89" w14:textId="5B4D56EF" w:rsidR="005658C4" w:rsidRDefault="005658C4" w:rsidP="005658C4">
      <w:pPr>
        <w:spacing w:line="480" w:lineRule="auto"/>
        <w:rPr>
          <w:sz w:val="24"/>
          <w:szCs w:val="24"/>
        </w:rPr>
      </w:pPr>
      <w:r>
        <w:rPr>
          <w:sz w:val="24"/>
          <w:szCs w:val="24"/>
        </w:rPr>
        <w:t>Yes</w:t>
      </w:r>
      <w:r>
        <w:rPr>
          <w:sz w:val="24"/>
          <w:szCs w:val="24"/>
        </w:rPr>
        <w:t>.</w:t>
      </w:r>
      <w:r>
        <w:rPr>
          <w:sz w:val="24"/>
          <w:szCs w:val="24"/>
        </w:rPr>
        <w:t xml:space="preserve"> I believe that the incentive benefits offered in Genentech and Zappos can be used in other organizations. This is because most organizations’ goals such as good productivity, high profits and maintaining good customer relations are achieved by offering employee benefits. Employee </w:t>
      </w:r>
      <w:r>
        <w:rPr>
          <w:sz w:val="24"/>
          <w:szCs w:val="24"/>
        </w:rPr>
        <w:lastRenderedPageBreak/>
        <w:t xml:space="preserve">performance in the workplace is also improved </w:t>
      </w:r>
      <w:r w:rsidRPr="009D2DD8">
        <w:rPr>
          <w:sz w:val="24"/>
          <w:szCs w:val="24"/>
        </w:rPr>
        <w:t>(Open.umn.edu, 2017)</w:t>
      </w:r>
      <w:r>
        <w:rPr>
          <w:sz w:val="24"/>
          <w:szCs w:val="24"/>
        </w:rPr>
        <w:t>. For this reason</w:t>
      </w:r>
      <w:r>
        <w:rPr>
          <w:sz w:val="24"/>
          <w:szCs w:val="24"/>
        </w:rPr>
        <w:t>,</w:t>
      </w:r>
      <w:r>
        <w:rPr>
          <w:sz w:val="24"/>
          <w:szCs w:val="24"/>
        </w:rPr>
        <w:t xml:space="preserve"> incentives are essential for other organizations to realize their goals</w:t>
      </w:r>
    </w:p>
    <w:p w14:paraId="4DA50E8A" w14:textId="77777777" w:rsidR="005658C4" w:rsidRDefault="005658C4" w:rsidP="005658C4">
      <w:pPr>
        <w:spacing w:line="480" w:lineRule="auto"/>
        <w:rPr>
          <w:sz w:val="24"/>
          <w:szCs w:val="24"/>
        </w:rPr>
      </w:pPr>
    </w:p>
    <w:p w14:paraId="502BA311" w14:textId="77777777" w:rsidR="005658C4" w:rsidRDefault="005658C4" w:rsidP="005658C4">
      <w:pPr>
        <w:rPr>
          <w:sz w:val="24"/>
          <w:szCs w:val="24"/>
        </w:rPr>
      </w:pPr>
    </w:p>
    <w:p w14:paraId="6E08AE07" w14:textId="77777777" w:rsidR="00A81A19" w:rsidRDefault="00A81A19">
      <w:pPr>
        <w:overflowPunct/>
        <w:autoSpaceDE/>
        <w:autoSpaceDN/>
        <w:adjustRightInd/>
        <w:spacing w:after="160" w:line="259" w:lineRule="auto"/>
        <w:textAlignment w:val="auto"/>
        <w:rPr>
          <w:b/>
          <w:sz w:val="24"/>
          <w:szCs w:val="24"/>
        </w:rPr>
      </w:pPr>
      <w:r>
        <w:rPr>
          <w:b/>
          <w:sz w:val="24"/>
          <w:szCs w:val="24"/>
        </w:rPr>
        <w:br w:type="page"/>
      </w:r>
    </w:p>
    <w:p w14:paraId="351BA256" w14:textId="6A2023C2" w:rsidR="005658C4" w:rsidRPr="009D2DD8" w:rsidRDefault="005658C4" w:rsidP="005658C4">
      <w:pPr>
        <w:jc w:val="center"/>
        <w:rPr>
          <w:b/>
          <w:sz w:val="24"/>
          <w:szCs w:val="24"/>
        </w:rPr>
      </w:pPr>
      <w:r w:rsidRPr="009D2DD8">
        <w:rPr>
          <w:b/>
          <w:sz w:val="24"/>
          <w:szCs w:val="24"/>
        </w:rPr>
        <w:lastRenderedPageBreak/>
        <w:t>Reference</w:t>
      </w:r>
      <w:r>
        <w:rPr>
          <w:b/>
          <w:sz w:val="24"/>
          <w:szCs w:val="24"/>
        </w:rPr>
        <w:t>s</w:t>
      </w:r>
    </w:p>
    <w:p w14:paraId="002F8AF2" w14:textId="77777777" w:rsidR="005658C4" w:rsidRPr="002C50F1" w:rsidRDefault="005658C4" w:rsidP="005658C4">
      <w:pPr>
        <w:spacing w:line="480" w:lineRule="auto"/>
        <w:ind w:left="720" w:hanging="720"/>
        <w:rPr>
          <w:sz w:val="24"/>
          <w:szCs w:val="24"/>
        </w:rPr>
      </w:pPr>
      <w:r w:rsidRPr="009D2DD8">
        <w:rPr>
          <w:sz w:val="24"/>
          <w:szCs w:val="24"/>
        </w:rPr>
        <w:t>Open.umn.edu. (2017). </w:t>
      </w:r>
      <w:r w:rsidRPr="009D2DD8">
        <w:rPr>
          <w:i/>
          <w:iCs/>
          <w:sz w:val="24"/>
          <w:szCs w:val="24"/>
        </w:rPr>
        <w:t>Organizational Behavior - Open Textbook Library</w:t>
      </w:r>
      <w:r w:rsidRPr="009D2DD8">
        <w:rPr>
          <w:sz w:val="24"/>
          <w:szCs w:val="24"/>
        </w:rPr>
        <w:t>. [online] Available at: https://open.umn.edu/opentextbooks/textbooks/organizational-behavior [Accessed 6 Apr. 2019].</w:t>
      </w:r>
    </w:p>
    <w:p w14:paraId="3AF22741" w14:textId="77777777" w:rsidR="005658C4" w:rsidRDefault="005658C4" w:rsidP="005658C4">
      <w:pPr>
        <w:spacing w:line="480" w:lineRule="auto"/>
        <w:ind w:left="720" w:hanging="720"/>
      </w:pPr>
    </w:p>
    <w:p w14:paraId="430BF806" w14:textId="77777777" w:rsidR="00F019AA" w:rsidRDefault="00F019AA" w:rsidP="005658C4">
      <w:pPr>
        <w:pStyle w:val="ListParagraph"/>
        <w:ind w:left="0"/>
        <w:rPr>
          <w:b/>
          <w:bCs/>
          <w:sz w:val="32"/>
          <w:szCs w:val="32"/>
        </w:rPr>
      </w:pPr>
    </w:p>
    <w:sectPr w:rsidR="00F019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E344B"/>
    <w:multiLevelType w:val="singleLevel"/>
    <w:tmpl w:val="DFB0202C"/>
    <w:lvl w:ilvl="0">
      <w:start w:val="1"/>
      <w:numFmt w:val="decimal"/>
      <w:lvlText w:val="%1. "/>
      <w:legacy w:legacy="1" w:legacySpace="0" w:legacyIndent="360"/>
      <w:lvlJc w:val="left"/>
      <w:pPr>
        <w:ind w:left="360" w:hanging="360"/>
      </w:pPr>
      <w:rPr>
        <w:rFonts w:cs="Times New Roman"/>
        <w:b w:val="0"/>
        <w:i w:val="0"/>
        <w:sz w:val="24"/>
      </w:rPr>
    </w:lvl>
  </w:abstractNum>
  <w:abstractNum w:abstractNumId="1" w15:restartNumberingAfterBreak="0">
    <w:nsid w:val="125B56E2"/>
    <w:multiLevelType w:val="hybridMultilevel"/>
    <w:tmpl w:val="3CA85526"/>
    <w:lvl w:ilvl="0" w:tplc="9EB6137E">
      <w:start w:val="1"/>
      <w:numFmt w:val="decimal"/>
      <w:lvlText w:val="%1."/>
      <w:lvlJc w:val="left"/>
      <w:pPr>
        <w:ind w:left="720" w:hanging="360"/>
      </w:pPr>
      <w:rPr>
        <w:rFonts w:hint="default"/>
        <w:b/>
        <w:color w:val="608E2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5157DE"/>
    <w:multiLevelType w:val="hybridMultilevel"/>
    <w:tmpl w:val="56240112"/>
    <w:lvl w:ilvl="0" w:tplc="7C86A8F2">
      <w:numFmt w:val="bullet"/>
      <w:lvlText w:val=""/>
      <w:lvlJc w:val="left"/>
      <w:pPr>
        <w:ind w:left="820" w:hanging="360"/>
      </w:pPr>
      <w:rPr>
        <w:rFonts w:ascii="Symbol" w:eastAsia="Symbol" w:hAnsi="Symbol" w:cs="Symbol" w:hint="default"/>
        <w:w w:val="100"/>
        <w:sz w:val="24"/>
        <w:szCs w:val="24"/>
      </w:rPr>
    </w:lvl>
    <w:lvl w:ilvl="1" w:tplc="ED36CCA0">
      <w:numFmt w:val="bullet"/>
      <w:lvlText w:val="•"/>
      <w:lvlJc w:val="left"/>
      <w:pPr>
        <w:ind w:left="1682" w:hanging="360"/>
      </w:pPr>
    </w:lvl>
    <w:lvl w:ilvl="2" w:tplc="B100CCFE">
      <w:numFmt w:val="bullet"/>
      <w:lvlText w:val="•"/>
      <w:lvlJc w:val="left"/>
      <w:pPr>
        <w:ind w:left="2544" w:hanging="360"/>
      </w:pPr>
    </w:lvl>
    <w:lvl w:ilvl="3" w:tplc="C8F045D2">
      <w:numFmt w:val="bullet"/>
      <w:lvlText w:val="•"/>
      <w:lvlJc w:val="left"/>
      <w:pPr>
        <w:ind w:left="3406" w:hanging="360"/>
      </w:pPr>
    </w:lvl>
    <w:lvl w:ilvl="4" w:tplc="096A6436">
      <w:numFmt w:val="bullet"/>
      <w:lvlText w:val="•"/>
      <w:lvlJc w:val="left"/>
      <w:pPr>
        <w:ind w:left="4268" w:hanging="360"/>
      </w:pPr>
    </w:lvl>
    <w:lvl w:ilvl="5" w:tplc="FA9A7DA6">
      <w:numFmt w:val="bullet"/>
      <w:lvlText w:val="•"/>
      <w:lvlJc w:val="left"/>
      <w:pPr>
        <w:ind w:left="5130" w:hanging="360"/>
      </w:pPr>
    </w:lvl>
    <w:lvl w:ilvl="6" w:tplc="CD8AA006">
      <w:numFmt w:val="bullet"/>
      <w:lvlText w:val="•"/>
      <w:lvlJc w:val="left"/>
      <w:pPr>
        <w:ind w:left="5992" w:hanging="360"/>
      </w:pPr>
    </w:lvl>
    <w:lvl w:ilvl="7" w:tplc="AA120950">
      <w:numFmt w:val="bullet"/>
      <w:lvlText w:val="•"/>
      <w:lvlJc w:val="left"/>
      <w:pPr>
        <w:ind w:left="6854" w:hanging="360"/>
      </w:pPr>
    </w:lvl>
    <w:lvl w:ilvl="8" w:tplc="B7245FD0">
      <w:numFmt w:val="bullet"/>
      <w:lvlText w:val="•"/>
      <w:lvlJc w:val="left"/>
      <w:pPr>
        <w:ind w:left="7716" w:hanging="360"/>
      </w:pPr>
    </w:lvl>
  </w:abstractNum>
  <w:abstractNum w:abstractNumId="3" w15:restartNumberingAfterBreak="0">
    <w:nsid w:val="5B437328"/>
    <w:multiLevelType w:val="hybridMultilevel"/>
    <w:tmpl w:val="A0E887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52144CD"/>
    <w:multiLevelType w:val="hybridMultilevel"/>
    <w:tmpl w:val="8908831A"/>
    <w:lvl w:ilvl="0" w:tplc="1968029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7C04DA8"/>
    <w:multiLevelType w:val="hybridMultilevel"/>
    <w:tmpl w:val="8908831A"/>
    <w:lvl w:ilvl="0" w:tplc="1968029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5"/>
  </w:num>
  <w:num w:numId="3">
    <w:abstractNumId w:val="0"/>
    <w:lvlOverride w:ilvl="0">
      <w:startOverride w:val="1"/>
    </w:lvlOverride>
  </w:num>
  <w:num w:numId="4">
    <w:abstractNumId w:val="4"/>
  </w:num>
  <w:num w:numId="5">
    <w:abstractNumId w:val="0"/>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E64"/>
    <w:rsid w:val="000A1536"/>
    <w:rsid w:val="000D6434"/>
    <w:rsid w:val="001C54C2"/>
    <w:rsid w:val="001F5A3A"/>
    <w:rsid w:val="00203178"/>
    <w:rsid w:val="002435ED"/>
    <w:rsid w:val="00254BD0"/>
    <w:rsid w:val="0029612E"/>
    <w:rsid w:val="003515CC"/>
    <w:rsid w:val="003829F0"/>
    <w:rsid w:val="00475DEA"/>
    <w:rsid w:val="004D4EFB"/>
    <w:rsid w:val="00553BD5"/>
    <w:rsid w:val="005658C4"/>
    <w:rsid w:val="00671CA4"/>
    <w:rsid w:val="00680253"/>
    <w:rsid w:val="006D76B4"/>
    <w:rsid w:val="00827B41"/>
    <w:rsid w:val="00861E72"/>
    <w:rsid w:val="00874B38"/>
    <w:rsid w:val="008E644D"/>
    <w:rsid w:val="00A17E64"/>
    <w:rsid w:val="00A81A19"/>
    <w:rsid w:val="00B37AD5"/>
    <w:rsid w:val="00B9169C"/>
    <w:rsid w:val="00BB66DF"/>
    <w:rsid w:val="00C53AC5"/>
    <w:rsid w:val="00D31AF2"/>
    <w:rsid w:val="00D54E36"/>
    <w:rsid w:val="00DA1936"/>
    <w:rsid w:val="00E54173"/>
    <w:rsid w:val="00E9186B"/>
    <w:rsid w:val="00F019AA"/>
    <w:rsid w:val="00FA01A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2F4C9"/>
  <w15:chartTrackingRefBased/>
  <w15:docId w15:val="{02D396FA-749E-4037-9587-C032AC776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03178"/>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paragraph" w:styleId="Heading1">
    <w:name w:val="heading 1"/>
    <w:basedOn w:val="Normal"/>
    <w:link w:val="Heading1Char"/>
    <w:uiPriority w:val="1"/>
    <w:qFormat/>
    <w:rsid w:val="00874B38"/>
    <w:pPr>
      <w:widowControl w:val="0"/>
      <w:overflowPunct/>
      <w:adjustRightInd/>
      <w:ind w:left="100"/>
      <w:textAlignment w:val="auto"/>
      <w:outlineLvl w:val="0"/>
    </w:pPr>
    <w:rPr>
      <w:rFonts w:ascii="Calibri" w:eastAsia="Calibri" w:hAnsi="Calibri" w:cs="Calibr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7E64"/>
    <w:pPr>
      <w:ind w:left="720"/>
      <w:contextualSpacing/>
    </w:pPr>
  </w:style>
  <w:style w:type="table" w:styleId="TableGrid">
    <w:name w:val="Table Grid"/>
    <w:basedOn w:val="TableNormal"/>
    <w:uiPriority w:val="59"/>
    <w:rsid w:val="003515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435E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35ED"/>
    <w:rPr>
      <w:rFonts w:ascii="Segoe UI" w:eastAsia="Times New Roman" w:hAnsi="Segoe UI" w:cs="Segoe UI"/>
      <w:sz w:val="18"/>
      <w:szCs w:val="18"/>
    </w:rPr>
  </w:style>
  <w:style w:type="paragraph" w:styleId="Footer">
    <w:name w:val="footer"/>
    <w:basedOn w:val="Normal"/>
    <w:link w:val="FooterChar"/>
    <w:uiPriority w:val="99"/>
    <w:rsid w:val="008E644D"/>
    <w:pPr>
      <w:tabs>
        <w:tab w:val="center" w:pos="4320"/>
        <w:tab w:val="right" w:pos="8640"/>
      </w:tabs>
    </w:pPr>
  </w:style>
  <w:style w:type="character" w:customStyle="1" w:styleId="FooterChar">
    <w:name w:val="Footer Char"/>
    <w:basedOn w:val="DefaultParagraphFont"/>
    <w:link w:val="Footer"/>
    <w:uiPriority w:val="99"/>
    <w:rsid w:val="008E644D"/>
    <w:rPr>
      <w:rFonts w:ascii="Times New Roman" w:eastAsia="Times New Roman" w:hAnsi="Times New Roman" w:cs="Times New Roman"/>
      <w:sz w:val="20"/>
      <w:szCs w:val="20"/>
    </w:rPr>
  </w:style>
  <w:style w:type="character" w:customStyle="1" w:styleId="Heading1Char">
    <w:name w:val="Heading 1 Char"/>
    <w:basedOn w:val="DefaultParagraphFont"/>
    <w:link w:val="Heading1"/>
    <w:uiPriority w:val="1"/>
    <w:rsid w:val="00874B38"/>
    <w:rPr>
      <w:rFonts w:ascii="Calibri" w:eastAsia="Calibri" w:hAnsi="Calibri" w:cs="Calibr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9073925">
      <w:bodyDiv w:val="1"/>
      <w:marLeft w:val="0"/>
      <w:marRight w:val="0"/>
      <w:marTop w:val="0"/>
      <w:marBottom w:val="0"/>
      <w:divBdr>
        <w:top w:val="none" w:sz="0" w:space="0" w:color="auto"/>
        <w:left w:val="none" w:sz="0" w:space="0" w:color="auto"/>
        <w:bottom w:val="none" w:sz="0" w:space="0" w:color="auto"/>
        <w:right w:val="none" w:sz="0" w:space="0" w:color="auto"/>
      </w:divBdr>
    </w:div>
    <w:div w:id="733167285">
      <w:bodyDiv w:val="1"/>
      <w:marLeft w:val="0"/>
      <w:marRight w:val="0"/>
      <w:marTop w:val="0"/>
      <w:marBottom w:val="0"/>
      <w:divBdr>
        <w:top w:val="none" w:sz="0" w:space="0" w:color="auto"/>
        <w:left w:val="none" w:sz="0" w:space="0" w:color="auto"/>
        <w:bottom w:val="none" w:sz="0" w:space="0" w:color="auto"/>
        <w:right w:val="none" w:sz="0" w:space="0" w:color="auto"/>
      </w:divBdr>
    </w:div>
    <w:div w:id="1871647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786</Words>
  <Characters>4485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Karim f. garrouch</dc:creator>
  <cp:keywords/>
  <dc:description/>
  <cp:lastModifiedBy>Joseph Ngururi</cp:lastModifiedBy>
  <cp:revision>3</cp:revision>
  <cp:lastPrinted>2019-02-06T10:11:00Z</cp:lastPrinted>
  <dcterms:created xsi:type="dcterms:W3CDTF">2019-04-06T02:54:00Z</dcterms:created>
  <dcterms:modified xsi:type="dcterms:W3CDTF">2019-04-06T02:54:00Z</dcterms:modified>
</cp:coreProperties>
</file>